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648" w:type="dxa"/>
        <w:tblBorders>
          <w:top w:val="single" w:sz="6" w:space="0" w:color="3B6C9D"/>
          <w:left w:val="single" w:sz="6" w:space="0" w:color="3B6C9D"/>
          <w:bottom w:val="single" w:sz="6" w:space="0" w:color="3B6C9D"/>
          <w:right w:val="single" w:sz="6" w:space="0" w:color="3B6C9D"/>
        </w:tblBorders>
        <w:tblCellMar>
          <w:left w:w="0" w:type="dxa"/>
          <w:right w:w="0" w:type="dxa"/>
        </w:tblCellMar>
        <w:tblLook w:val="04A0"/>
      </w:tblPr>
      <w:tblGrid>
        <w:gridCol w:w="1200"/>
        <w:gridCol w:w="9045"/>
        <w:gridCol w:w="3765"/>
        <w:gridCol w:w="1638"/>
      </w:tblGrid>
      <w:tr w:rsidR="00C149D5" w:rsidRPr="00C149D5" w:rsidTr="00C149D5"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№ п\</w:t>
            </w:r>
            <w:proofErr w:type="gramStart"/>
            <w:r w:rsidRPr="00C149D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Величина показателя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Единица измерения</w:t>
            </w:r>
          </w:p>
        </w:tc>
      </w:tr>
      <w:tr w:rsidR="00C149D5" w:rsidRPr="00C149D5" w:rsidTr="00C149D5"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525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Совокупный годовой объем закупок, за исключением объема закупок, сведения о которых составляют государственную тайну</w:t>
            </w:r>
          </w:p>
        </w:tc>
        <w:tc>
          <w:tcPr>
            <w:tcW w:w="3765" w:type="dxa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484,780 00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тыс. руб.</w:t>
            </w:r>
          </w:p>
        </w:tc>
      </w:tr>
      <w:tr w:rsidR="00C149D5" w:rsidRPr="00C149D5" w:rsidTr="00C149D5"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525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Общий объем финансового обеспечения для оплаты контрактов в отчетном году в рамках осуществления закупок, предусмотренных частью 1.1 статьи 30 Федерального закона «О контрактной системе в сфере закупок товаров, работ, услуг для обеспечения государственных и муниципальных нужд» (далее - Федеральный закон), за исключением объема финансового обеспечения для оплаты в отчетном году контрактов, содержащих сведения, составляющие государственную тайну:</w:t>
            </w:r>
            <w:proofErr w:type="gramEnd"/>
          </w:p>
        </w:tc>
        <w:tc>
          <w:tcPr>
            <w:tcW w:w="3765" w:type="dxa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484,780 00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тыс. руб.</w:t>
            </w:r>
          </w:p>
        </w:tc>
      </w:tr>
      <w:tr w:rsidR="00C149D5" w:rsidRPr="00C149D5" w:rsidTr="00C149D5"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675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675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для обеспечения обороны страны и безопасности государства, за исключением объема финансового обеспечения для оплаты в отчетном году контрактов, содержащих сведения, составляющие государственную тайну</w:t>
            </w:r>
          </w:p>
        </w:tc>
        <w:tc>
          <w:tcPr>
            <w:tcW w:w="3765" w:type="dxa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0,000 00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тыс. руб.</w:t>
            </w:r>
          </w:p>
        </w:tc>
      </w:tr>
      <w:tr w:rsidR="00C149D5" w:rsidRPr="00C149D5" w:rsidTr="00C149D5"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675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675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на оказание услуг по предоставлению кредитов, за исключением объема финансового обеспечения для оплаты в отчетном году контрактов, содержащих сведения, составляющие государственную тайну</w:t>
            </w:r>
          </w:p>
        </w:tc>
        <w:tc>
          <w:tcPr>
            <w:tcW w:w="3765" w:type="dxa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0,000 00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тыс. руб.</w:t>
            </w:r>
          </w:p>
        </w:tc>
      </w:tr>
      <w:tr w:rsidR="00C149D5" w:rsidRPr="00C149D5" w:rsidTr="00C149D5"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675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675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proofErr w:type="gramStart"/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с единственным поставщиком (подрядчиком, исполнителем) в соответствии с частью 1 (за исключением закупок, которые осуществлены в соответствии с пунктом 25 части 1 статьи 93 Федерального закона по результатам несостоявшегося определения поставщиков (подрядчиков, исполнителей), проведенного в соответствии с требованиями пункта 1 части 1 статьи 30 Федерального закона) и частью 12 статьи</w:t>
            </w:r>
            <w:proofErr w:type="gramEnd"/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93 Федерального закона, за исключением объема финансового обеспечения для оплаты в отчетном году контрактов, содержащих сведения, составляющие государственную тайну</w:t>
            </w:r>
          </w:p>
        </w:tc>
        <w:tc>
          <w:tcPr>
            <w:tcW w:w="3765" w:type="dxa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484,780 00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тыс. руб.</w:t>
            </w:r>
          </w:p>
        </w:tc>
      </w:tr>
      <w:tr w:rsidR="00C149D5" w:rsidRPr="00C149D5" w:rsidTr="00C149D5"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675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675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на выполнение работ в области использования атомной энергии, за исключением объема финансового обеспечения для оплаты в отчетном году контрактов, содержащих сведения, составляющие государственную тайну</w:t>
            </w:r>
          </w:p>
        </w:tc>
        <w:tc>
          <w:tcPr>
            <w:tcW w:w="3765" w:type="dxa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0,000 00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тыс. руб.</w:t>
            </w:r>
          </w:p>
        </w:tc>
      </w:tr>
      <w:tr w:rsidR="00C149D5" w:rsidRPr="00C149D5" w:rsidTr="00C149D5"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675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675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Объем финансового обеспечения для оплаты в отчетном году контрактов, заключаемых по результатам закрытых способов определения поставщиков (подрядчиков, исполнителей), за исключением объема финансового обеспечения для оплаты в отчетном году контрактов, содержащих сведения, составляющие государственную тайну</w:t>
            </w:r>
          </w:p>
        </w:tc>
        <w:tc>
          <w:tcPr>
            <w:tcW w:w="3765" w:type="dxa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0,000 00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тыс. руб.</w:t>
            </w:r>
          </w:p>
        </w:tc>
      </w:tr>
      <w:tr w:rsidR="00C149D5" w:rsidRPr="00C149D5" w:rsidTr="00C149D5"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525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Совокупный годовой объем закупок, рассчитанный за вычетом закупок, предусмотренных частью 1.1 статьи 30 Федерального закона</w:t>
            </w:r>
          </w:p>
        </w:tc>
        <w:tc>
          <w:tcPr>
            <w:tcW w:w="3765" w:type="dxa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0,000 00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тыс. руб.</w:t>
            </w:r>
          </w:p>
        </w:tc>
      </w:tr>
      <w:tr w:rsidR="00C149D5" w:rsidRPr="00C149D5" w:rsidTr="00C149D5"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525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Объем закупок, который заказчик обязан осуществить у субъектов малого предпринимательства, социально ориентированных некоммерческих организаций в отчетном году (не менее чем 15 процентов совокупного годового объема закупок, рассчитанного с учетом части 1.1 статьи 30 Федерального закона)</w:t>
            </w:r>
          </w:p>
        </w:tc>
        <w:tc>
          <w:tcPr>
            <w:tcW w:w="3765" w:type="dxa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0,000 00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тыс. руб.</w:t>
            </w:r>
          </w:p>
        </w:tc>
      </w:tr>
    </w:tbl>
    <w:p w:rsidR="00C149D5" w:rsidRPr="00C149D5" w:rsidRDefault="00C149D5" w:rsidP="00C1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9D5" w:rsidRPr="00C149D5" w:rsidRDefault="00C149D5" w:rsidP="00C149D5">
      <w:pPr>
        <w:shd w:val="clear" w:color="auto" w:fill="4178A6"/>
        <w:spacing w:after="0" w:line="240" w:lineRule="auto"/>
        <w:jc w:val="center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C149D5">
        <w:rPr>
          <w:rFonts w:ascii="Tahoma" w:eastAsia="Times New Roman" w:hAnsi="Tahoma" w:cs="Tahoma"/>
          <w:b/>
          <w:bCs/>
          <w:color w:val="FFFFFF"/>
          <w:sz w:val="18"/>
          <w:szCs w:val="18"/>
          <w:bdr w:val="none" w:sz="0" w:space="0" w:color="auto" w:frame="1"/>
          <w:lang w:eastAsia="ru-RU"/>
        </w:rPr>
        <w:lastRenderedPageBreak/>
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</w:r>
    </w:p>
    <w:tbl>
      <w:tblPr>
        <w:tblW w:w="15648" w:type="dxa"/>
        <w:tblBorders>
          <w:top w:val="single" w:sz="6" w:space="0" w:color="3B6C9D"/>
          <w:left w:val="single" w:sz="6" w:space="0" w:color="3B6C9D"/>
          <w:bottom w:val="single" w:sz="6" w:space="0" w:color="3B6C9D"/>
          <w:right w:val="single" w:sz="6" w:space="0" w:color="3B6C9D"/>
        </w:tblBorders>
        <w:tblCellMar>
          <w:left w:w="0" w:type="dxa"/>
          <w:right w:w="0" w:type="dxa"/>
        </w:tblCellMar>
        <w:tblLook w:val="04A0"/>
      </w:tblPr>
      <w:tblGrid>
        <w:gridCol w:w="989"/>
        <w:gridCol w:w="9250"/>
        <w:gridCol w:w="3765"/>
        <w:gridCol w:w="1644"/>
      </w:tblGrid>
      <w:tr w:rsidR="00C149D5" w:rsidRPr="00C149D5" w:rsidTr="00C149D5"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№ п\</w:t>
            </w:r>
            <w:proofErr w:type="gramStart"/>
            <w:r w:rsidRPr="00C149D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Величина показателя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Единица измерения</w:t>
            </w:r>
          </w:p>
        </w:tc>
      </w:tr>
      <w:tr w:rsidR="00C149D5" w:rsidRPr="00C149D5" w:rsidTr="00C149D5"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525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Объем закупок в отчетном году, осуществленных по результатам определения поставщиков (подрядчиков, исполнителей), проведенного в соответствии с требованиями пункта 1 части 1 статьи 30 Федерального закона</w:t>
            </w:r>
          </w:p>
        </w:tc>
        <w:tc>
          <w:tcPr>
            <w:tcW w:w="3765" w:type="dxa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0,000 00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тыс. руб.</w:t>
            </w:r>
          </w:p>
        </w:tc>
      </w:tr>
      <w:tr w:rsidR="00C149D5" w:rsidRPr="00C149D5" w:rsidTr="00C149D5"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525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Объем привлечения в отчетном году субподрядчиков, соисполнителей из числа субъектов малого предпринимательства, социально ориентированных некоммерческих организаций к исполнению контрактов, заключенных по результатам определений поставщиков (подрядчиков, исполнителей), в </w:t>
            </w:r>
            <w:proofErr w:type="gramStart"/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извещениях</w:t>
            </w:r>
            <w:proofErr w:type="gramEnd"/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об осуществлении которых было установлено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организацией,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</w:t>
            </w:r>
          </w:p>
        </w:tc>
        <w:tc>
          <w:tcPr>
            <w:tcW w:w="3765" w:type="dxa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0,000 00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тыс. руб.</w:t>
            </w:r>
          </w:p>
        </w:tc>
      </w:tr>
      <w:tr w:rsidR="00C149D5" w:rsidRPr="00C149D5" w:rsidTr="00C149D5"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525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Объем закупок, который заказчик осуществил у субъектов малого предпринимательства, социально ориентированных некоммерческих организаций в отчетном году</w:t>
            </w:r>
          </w:p>
        </w:tc>
        <w:tc>
          <w:tcPr>
            <w:tcW w:w="3765" w:type="dxa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0,000 00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тыс. руб.</w:t>
            </w:r>
          </w:p>
        </w:tc>
      </w:tr>
      <w:tr w:rsidR="00C149D5" w:rsidRPr="00C149D5" w:rsidTr="00C149D5"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525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Доля закупок, которые заказчик осуществил у субъектов малого предпринимательства, социально ориентированных некоммерческих организаций в отчетном году, в совокупном годовом объеме закупок, рассчитанном за вычетом закупок, предусмотренных частью 1.1 статьи 30 Федерального закона</w:t>
            </w:r>
          </w:p>
        </w:tc>
        <w:tc>
          <w:tcPr>
            <w:tcW w:w="3765" w:type="dxa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0,000 00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%</w:t>
            </w:r>
          </w:p>
        </w:tc>
      </w:tr>
    </w:tbl>
    <w:p w:rsidR="00C149D5" w:rsidRPr="00C149D5" w:rsidRDefault="00C149D5" w:rsidP="00C149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149D5" w:rsidRPr="00C149D5" w:rsidRDefault="00C149D5" w:rsidP="00C149D5">
      <w:pPr>
        <w:shd w:val="clear" w:color="auto" w:fill="4178A6"/>
        <w:spacing w:after="0" w:line="240" w:lineRule="auto"/>
        <w:jc w:val="center"/>
        <w:rPr>
          <w:rFonts w:ascii="Tahoma" w:eastAsia="Times New Roman" w:hAnsi="Tahoma" w:cs="Tahoma"/>
          <w:color w:val="FFFFFF"/>
          <w:sz w:val="18"/>
          <w:szCs w:val="18"/>
          <w:lang w:eastAsia="ru-RU"/>
        </w:rPr>
      </w:pPr>
      <w:r w:rsidRPr="00C149D5">
        <w:rPr>
          <w:rFonts w:ascii="Tahoma" w:eastAsia="Times New Roman" w:hAnsi="Tahoma" w:cs="Tahoma"/>
          <w:b/>
          <w:bCs/>
          <w:color w:val="FFFFFF"/>
          <w:sz w:val="18"/>
          <w:szCs w:val="18"/>
          <w:bdr w:val="none" w:sz="0" w:space="0" w:color="auto" w:frame="1"/>
          <w:lang w:eastAsia="ru-RU"/>
        </w:rPr>
        <w:t>Информация о несостоявшихся определениях поставщиков (подрядчиков, исполнителей) с участием субъектов малого предпринимательства, социально ориентированных некоммерческих организаций</w:t>
      </w:r>
    </w:p>
    <w:tbl>
      <w:tblPr>
        <w:tblW w:w="15648" w:type="dxa"/>
        <w:tblBorders>
          <w:top w:val="single" w:sz="6" w:space="0" w:color="3B6C9D"/>
          <w:left w:val="single" w:sz="6" w:space="0" w:color="3B6C9D"/>
          <w:bottom w:val="single" w:sz="6" w:space="0" w:color="3B6C9D"/>
          <w:right w:val="single" w:sz="6" w:space="0" w:color="3B6C9D"/>
        </w:tblBorders>
        <w:tblCellMar>
          <w:left w:w="0" w:type="dxa"/>
          <w:right w:w="0" w:type="dxa"/>
        </w:tblCellMar>
        <w:tblLook w:val="04A0"/>
      </w:tblPr>
      <w:tblGrid>
        <w:gridCol w:w="1002"/>
        <w:gridCol w:w="9460"/>
        <w:gridCol w:w="3765"/>
        <w:gridCol w:w="1421"/>
      </w:tblGrid>
      <w:tr w:rsidR="00C149D5" w:rsidRPr="00C149D5" w:rsidTr="00C149D5"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№ п\</w:t>
            </w:r>
            <w:proofErr w:type="gramStart"/>
            <w:r w:rsidRPr="00C149D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п</w:t>
            </w:r>
            <w:proofErr w:type="gramEnd"/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120" w:type="dxa"/>
              <w:left w:w="300" w:type="dxa"/>
              <w:bottom w:w="13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Величина показателя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b/>
                <w:bCs/>
                <w:color w:val="383838"/>
                <w:sz w:val="18"/>
                <w:szCs w:val="18"/>
                <w:lang w:eastAsia="ru-RU"/>
              </w:rPr>
              <w:t>Единица измерения</w:t>
            </w:r>
          </w:p>
        </w:tc>
      </w:tr>
      <w:tr w:rsidR="00C149D5" w:rsidRPr="00C149D5" w:rsidTr="00C149D5"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525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Сумма начальных (максимальных) цен контрактов несостоявшихся определений поставщиков (подрядчиков, исполнителей) с участием субъектов малого предпринимательства, социально ориентированных некоммерческих организаций, по </w:t>
            </w:r>
            <w:proofErr w:type="gramStart"/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результатам</w:t>
            </w:r>
            <w:proofErr w:type="gramEnd"/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 xml:space="preserve"> проведения которых контракт не заключен</w:t>
            </w:r>
          </w:p>
        </w:tc>
        <w:tc>
          <w:tcPr>
            <w:tcW w:w="3765" w:type="dxa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0,000 00</w:t>
            </w:r>
          </w:p>
        </w:tc>
        <w:tc>
          <w:tcPr>
            <w:tcW w:w="0" w:type="auto"/>
            <w:tcBorders>
              <w:top w:val="single" w:sz="6" w:space="0" w:color="3B6C9D"/>
              <w:left w:val="single" w:sz="6" w:space="0" w:color="3B6C9D"/>
              <w:bottom w:val="single" w:sz="6" w:space="0" w:color="3B6C9D"/>
              <w:right w:val="single" w:sz="6" w:space="0" w:color="3B6C9D"/>
            </w:tcBorders>
            <w:tcMar>
              <w:top w:w="75" w:type="dxa"/>
              <w:left w:w="300" w:type="dxa"/>
              <w:bottom w:w="75" w:type="dxa"/>
              <w:right w:w="300" w:type="dxa"/>
            </w:tcMar>
            <w:vAlign w:val="center"/>
            <w:hideMark/>
          </w:tcPr>
          <w:p w:rsidR="00C149D5" w:rsidRPr="00C149D5" w:rsidRDefault="00C149D5" w:rsidP="00C149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</w:pPr>
            <w:r w:rsidRPr="00C149D5">
              <w:rPr>
                <w:rFonts w:ascii="Times New Roman" w:eastAsia="Times New Roman" w:hAnsi="Times New Roman" w:cs="Times New Roman"/>
                <w:color w:val="383838"/>
                <w:sz w:val="18"/>
                <w:szCs w:val="18"/>
                <w:lang w:eastAsia="ru-RU"/>
              </w:rPr>
              <w:t>тыс. руб.</w:t>
            </w:r>
          </w:p>
        </w:tc>
      </w:tr>
    </w:tbl>
    <w:p w:rsidR="00186B2E" w:rsidRDefault="00186B2E"/>
    <w:p w:rsidR="00186B2E" w:rsidRPr="00186B2E" w:rsidRDefault="00186B2E" w:rsidP="00186B2E"/>
    <w:p w:rsidR="00186B2E" w:rsidRPr="00186B2E" w:rsidRDefault="00186B2E" w:rsidP="00186B2E"/>
    <w:p w:rsidR="00CD6CF9" w:rsidRDefault="00CD6CF9" w:rsidP="00186B2E">
      <w:pPr>
        <w:jc w:val="center"/>
      </w:pPr>
    </w:p>
    <w:p w:rsidR="00186B2E" w:rsidRDefault="00186B2E" w:rsidP="00186B2E">
      <w:pPr>
        <w:jc w:val="center"/>
      </w:pPr>
    </w:p>
    <w:p w:rsidR="00186B2E" w:rsidRPr="00186B2E" w:rsidRDefault="00186B2E" w:rsidP="00186B2E">
      <w:pPr>
        <w:jc w:val="center"/>
      </w:pPr>
    </w:p>
    <w:sectPr w:rsidR="00186B2E" w:rsidRPr="00186B2E" w:rsidSect="00C149D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6B4"/>
    <w:rsid w:val="00186B2E"/>
    <w:rsid w:val="004406B4"/>
    <w:rsid w:val="008202A5"/>
    <w:rsid w:val="00C149D5"/>
    <w:rsid w:val="00CD6CF9"/>
    <w:rsid w:val="00DD7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29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9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3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6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61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8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07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774</Words>
  <Characters>4413</Characters>
  <Application>Microsoft Office Word</Application>
  <DocSecurity>0</DocSecurity>
  <Lines>36</Lines>
  <Paragraphs>10</Paragraphs>
  <ScaleCrop>false</ScaleCrop>
  <Company/>
  <LinksUpToDate>false</LinksUpToDate>
  <CharactersWithSpaces>5177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Users2</cp:lastModifiedBy>
  <cp:revision>7</cp:revision>
  <dcterms:created xsi:type="dcterms:W3CDTF">2022-03-31T11:06:00Z</dcterms:created>
  <dcterms:modified xsi:type="dcterms:W3CDTF">2022-03-31T11:33:00Z</dcterms:modified>
</cp:coreProperties>
</file>