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C5" w:rsidRPr="00B04BC5" w:rsidRDefault="00B04BC5" w:rsidP="00B04B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04BC5">
        <w:rPr>
          <w:rFonts w:ascii="Times New Roman" w:eastAsia="Times New Roman" w:hAnsi="Times New Roman" w:cs="Times New Roman"/>
          <w:szCs w:val="21"/>
        </w:rPr>
        <w:t>Извещение о проведении электронного аукциона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B04BC5" w:rsidRPr="00B04BC5" w:rsidTr="00B04BC5">
        <w:tc>
          <w:tcPr>
            <w:tcW w:w="2000" w:type="pct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Поставка легкового автомобиля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Электронный аукцион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ЗАО «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Сбербанк-АСТ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http://www.sberbank-ast.ru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Заказчик</w:t>
            </w: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АДМИНИСТРАЦИЯ МИХАЙЛОАННЕНСКОГО СЕЛЬСОВЕТА СОВЕТСКОГО РАЙОНА КУРСКОЙ ОБЛАСТИ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МИХАЙЛОАННЕНСКОГО СЕЛЬСОВЕТА СОВЕТСКОГО РАЙОНА КУРСКОЙ ОБЛАСТИ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Российская Федерация, 306616, Курская </w:t>
            </w:r>
            <w:proofErr w:type="spellStart"/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обл</w:t>
            </w:r>
            <w:proofErr w:type="spellEnd"/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Советский р-н,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Кирилловка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proofErr w:type="spellEnd"/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Российская Федерация, 306616, Курская </w:t>
            </w:r>
            <w:proofErr w:type="spellStart"/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обл</w:t>
            </w:r>
            <w:proofErr w:type="spellEnd"/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Советский р-н,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Кирилловка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</w:t>
            </w:r>
            <w:proofErr w:type="spellEnd"/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Буланова Светлана Владимировна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m-annenskadm@yandex.ru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7-47158-35142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отсутствует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отсутствует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отсутствует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18.03.2020 08:00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Заявка на участие в электронном аукционе направляется участником оператору электронной площадки. 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Заявка на участие в электронном аукционе направляется оператору электронной площадки в форме двух электронных документов, содержащих части заявок, предусмотренные аукционной документацией. Указанные электронные документы подаются одновременно.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Дата 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18.03.2020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19.03.2020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отсутствует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548640.00 Российский рубль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04"/>
              <w:gridCol w:w="1897"/>
              <w:gridCol w:w="1897"/>
              <w:gridCol w:w="1897"/>
              <w:gridCol w:w="2960"/>
            </w:tblGrid>
            <w:tr w:rsidR="00B04BC5" w:rsidRPr="00B04BC5"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B04BC5" w:rsidRPr="00B04BC5"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56"/>
              <w:gridCol w:w="893"/>
              <w:gridCol w:w="1355"/>
              <w:gridCol w:w="1250"/>
              <w:gridCol w:w="1250"/>
              <w:gridCol w:w="2051"/>
            </w:tblGrid>
            <w:tr w:rsidR="00B04BC5" w:rsidRPr="00B04BC5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B04BC5" w:rsidRPr="00B04BC5"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Сумма на последующие годы </w:t>
                  </w:r>
                </w:p>
              </w:tc>
            </w:tr>
            <w:tr w:rsidR="00B04BC5" w:rsidRPr="00B04BC5"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001011376100С1404244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0.00</w:t>
                  </w:r>
                </w:p>
              </w:tc>
            </w:tr>
          </w:tbl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местный бюджет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203462100009646210100100090012910244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Место доставки товара, выполнения </w:t>
            </w: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Российская Федерация, Курская </w:t>
            </w:r>
            <w:proofErr w:type="spellStart"/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обл</w:t>
            </w:r>
            <w:proofErr w:type="spellEnd"/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306616, Советский </w:t>
            </w: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район, д.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Кирилловка</w:t>
            </w:r>
            <w:proofErr w:type="spellEnd"/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течение 10 дней с момента заключения контракта. Поставщик поставляет товар Заказчику собственным транспортом или с привлечением транспорта третьих лиц за свой счет (поставка Товара без использования </w:t>
            </w:r>
            <w:proofErr w:type="spell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автовоза</w:t>
            </w:r>
            <w:proofErr w:type="spell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не допускается).</w:t>
            </w: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Объект закупки</w:t>
            </w: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Российский рубль</w:t>
            </w: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332"/>
              <w:gridCol w:w="1045"/>
              <w:gridCol w:w="1333"/>
              <w:gridCol w:w="838"/>
              <w:gridCol w:w="956"/>
              <w:gridCol w:w="956"/>
              <w:gridCol w:w="1065"/>
              <w:gridCol w:w="847"/>
              <w:gridCol w:w="983"/>
            </w:tblGrid>
            <w:tr w:rsidR="00B04BC5" w:rsidRPr="00B04BC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ед</w:t>
                  </w:r>
                  <w:proofErr w:type="gramStart"/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.и</w:t>
                  </w:r>
                  <w:proofErr w:type="gramEnd"/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зм</w:t>
                  </w:r>
                  <w:proofErr w:type="spellEnd"/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B04BC5" w:rsidRPr="00B04BC5"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B04BC5" w:rsidRPr="00B04BC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Поставка легкового автомобиля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29.10.22.000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548640.00</w:t>
                  </w:r>
                </w:p>
              </w:tc>
            </w:tr>
            <w:tr w:rsidR="00B04BC5" w:rsidRPr="00B04BC5"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B04BC5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04BC5" w:rsidRPr="00B04BC5" w:rsidRDefault="00B04BC5" w:rsidP="00B04B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Итого: 548640.00 Российский рубль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Не 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установлены</w:t>
            </w:r>
            <w:proofErr w:type="gramEnd"/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в соответствии с приложением № 1 к настоящему извещению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Отсутствие в предусмотренном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5486.40 Российский рубль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внесения денежных сре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дств в к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Обеспечение заявки на участие в электронном аукционе может предоставляться участником закупки в форме банковской гарантии, выданной банком и соответствующей требованиям статьи 45 Федерального закона № 44-ФЗ или путем внесения денежных средств. Выбор способа обеспечения заявки осуществляется участником закупки. Банковская гарантия, выданная участнику закупки банком для целей обеспечения заявки на участие в настоящем аукционе, должна соответствовать требованиям статьи 45 Федерального закона от 05.04.2013 № 44-ФЗ. Срок действия банковской гарантии, предоставленной в качестве обеспечения заявки, должен составлять не менее чем два месяца 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с даты окончания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срока подачи заявок. При проведен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ии ау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кциона оператор электронной площадки осуществляет взаимодействие с реестром банковских гарантий в соответствии с требованиями, установленными в соответствии с частью 2 статьи 24.1 Федерального закона от 05.04.2013 № 44-ФЗ. Подача заявок на участие в электронном аукционе путем обеспечения денежными средствами </w:t>
            </w: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осуществляется при наличии на специальном счете, открытом участником в банке, перечень которых устанавливается Правительством Российской Федерации (далее - специальный счет), денежных сре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дств в р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азмере не менее чем размер обеспечения заявки на участие в аукционе. Подачей заявки на участие в электронном аукционе участник закупки выражает согласие на блокирование денежных средств, находящихся на его специальном счете в размере обеспечения соответствующей заявки. Требование об обеспечении заявки на участие в электронном аукционе в равной мере относится ко всем участникам закупки.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дств пр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"Номер расчётного счёта" 40302810900001000001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"Номер лицевого счёта" 05443021290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"БИК" 043807001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5.00%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Обеспечение исполнения контракта осуществляется предоставлением банковской гарантии, выданной банком и соответствующей требованиям статьи 45 Федерального закона № 44-ФЗ, или -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44-ФЗ. В случае не 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 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Участник закупки, с которым заключается контракт, освобождается от предоставления обеспечения исполнения контракта, в том числе с учетом положений статьи 37 Федерального закона от 05.04.2013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исполненных без применения к такому участнику неустоек (штрафов, пеней). Такая информация представляется участником закупки до заключения контракта. При этом сумма цен таких контрактов должна составлять не 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менее начальной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"Номер расчётного счёта" 40302810900001000001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"Номер лицевого счёта" 05443021290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"БИК" 043807001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1097.28 Российский рубль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Порядок внесения денежных сре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дств в к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Гарантийные обязательства могут обеспечиваться предоставлением банковской гарантии, выданной банком и соответствующей требованиям статьи 45 Федерального закона от 05.04.2013 № 44-ФЗ, или внесением денежных средств на указанный заказчиком счет. Способ обеспечения гарантийных обязательств определяется участником закупки, с которым заключен контракт, самостоятельно. Срок действия банковской гарантии должен превышать срок исполнения гарантийных обязательств, которые должны быть обеспечены такой банковской гарантией, не менее чем на один месяц. Обеспечение гарантийных обязатель</w:t>
            </w:r>
            <w:proofErr w:type="gramStart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ств пр</w:t>
            </w:r>
            <w:proofErr w:type="gramEnd"/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едоставляется Подрядчиком до оформления документа о приемке выполненной работы (ее результатов) – акта о приемке выполненных работ. Если Подрядчиком в качестве способа обеспечения гарантийных обязательств было избрано внесение денежных средств на указанный Заказчиком счет, то Заказчик в пятидневный срок со дня окончания действия гарантийных обязательств возвращает денежные средства на счет Подрядчика. 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«Номер расчетного счета» 40302810900001000001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«Номер лицевого счета» 05443021290</w:t>
            </w:r>
          </w:p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«БИК» 043807001</w:t>
            </w: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Информация о банковском и (или) казначейском сопровождении контракта</w:t>
            </w:r>
          </w:p>
        </w:tc>
      </w:tr>
      <w:tr w:rsidR="00B04BC5" w:rsidRPr="00B04BC5" w:rsidTr="00B04BC5">
        <w:tc>
          <w:tcPr>
            <w:tcW w:w="0" w:type="auto"/>
            <w:gridSpan w:val="2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Банковское или казначейское сопровождение контракта не требуется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отсутствует</w:t>
            </w:r>
          </w:p>
        </w:tc>
      </w:tr>
      <w:tr w:rsidR="00B04BC5" w:rsidRPr="00B04BC5" w:rsidTr="00B04BC5"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04BC5" w:rsidRPr="00B04BC5" w:rsidRDefault="00B04BC5" w:rsidP="00B04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04B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Документы не прикреплены </w:t>
            </w:r>
          </w:p>
        </w:tc>
      </w:tr>
    </w:tbl>
    <w:p w:rsidR="008F1F44" w:rsidRPr="00B04BC5" w:rsidRDefault="008F1F44">
      <w:pPr>
        <w:rPr>
          <w:rFonts w:ascii="Times New Roman" w:hAnsi="Times New Roman" w:cs="Times New Roman"/>
        </w:rPr>
      </w:pPr>
    </w:p>
    <w:sectPr w:rsidR="008F1F44" w:rsidRPr="00B0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BC5"/>
    <w:rsid w:val="008F1F44"/>
    <w:rsid w:val="00B0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B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B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B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009">
          <w:marLeft w:val="0"/>
          <w:marRight w:val="0"/>
          <w:marTop w:val="12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8469</Characters>
  <Application>Microsoft Office Word</Application>
  <DocSecurity>0</DocSecurity>
  <Lines>70</Lines>
  <Paragraphs>19</Paragraphs>
  <ScaleCrop>false</ScaleCrop>
  <Company>Microsoft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mxt</dc:creator>
  <cp:keywords/>
  <dc:description/>
  <cp:lastModifiedBy>mxt</cp:lastModifiedBy>
  <cp:revision>2</cp:revision>
  <dcterms:created xsi:type="dcterms:W3CDTF">2020-03-05T06:41:00Z</dcterms:created>
  <dcterms:modified xsi:type="dcterms:W3CDTF">2020-03-05T06:42:00Z</dcterms:modified>
</cp:coreProperties>
</file>